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B96" w:rsidRPr="00727B96" w:rsidRDefault="00727B96" w:rsidP="00727B96">
      <w:pPr>
        <w:jc w:val="center"/>
        <w:rPr>
          <w:b/>
        </w:rPr>
      </w:pPr>
      <w:r w:rsidRPr="00727B96">
        <w:rPr>
          <w:b/>
        </w:rPr>
        <w:t>Перечень разработок</w:t>
      </w:r>
      <w:r>
        <w:rPr>
          <w:b/>
        </w:rPr>
        <w:t>,</w:t>
      </w:r>
    </w:p>
    <w:p w:rsidR="00727B96" w:rsidRDefault="00727B96" w:rsidP="00727B96">
      <w:pPr>
        <w:jc w:val="center"/>
        <w:rPr>
          <w:b/>
        </w:rPr>
      </w:pPr>
      <w:r>
        <w:rPr>
          <w:b/>
        </w:rPr>
        <w:t xml:space="preserve">Представленных на </w:t>
      </w:r>
      <w:r w:rsidRPr="00727B96">
        <w:rPr>
          <w:b/>
        </w:rPr>
        <w:t>Международн</w:t>
      </w:r>
      <w:r>
        <w:rPr>
          <w:b/>
        </w:rPr>
        <w:t>ой</w:t>
      </w:r>
      <w:r w:rsidRPr="00727B96">
        <w:rPr>
          <w:b/>
        </w:rPr>
        <w:t xml:space="preserve"> промышленн</w:t>
      </w:r>
      <w:r>
        <w:rPr>
          <w:b/>
        </w:rPr>
        <w:t>ой</w:t>
      </w:r>
      <w:r w:rsidRPr="00727B96">
        <w:rPr>
          <w:b/>
        </w:rPr>
        <w:t xml:space="preserve"> выставк</w:t>
      </w:r>
      <w:r>
        <w:rPr>
          <w:b/>
        </w:rPr>
        <w:t>е</w:t>
      </w:r>
      <w:r w:rsidRPr="00727B96">
        <w:rPr>
          <w:b/>
        </w:rPr>
        <w:t xml:space="preserve"> «ИННОП</w:t>
      </w:r>
      <w:bookmarkStart w:id="0" w:name="_GoBack"/>
      <w:bookmarkEnd w:id="0"/>
      <w:r w:rsidRPr="00727B96">
        <w:rPr>
          <w:b/>
        </w:rPr>
        <w:t xml:space="preserve">РОМ. ЦЕНТРАЛЬНАЯ АЗИЯ», </w:t>
      </w:r>
      <w:r>
        <w:rPr>
          <w:b/>
        </w:rPr>
        <w:br/>
      </w:r>
      <w:r w:rsidRPr="00727B96">
        <w:rPr>
          <w:b/>
        </w:rPr>
        <w:t>г. Ташкент, Узбекистан</w:t>
      </w:r>
      <w:r>
        <w:rPr>
          <w:b/>
        </w:rPr>
        <w:t>,</w:t>
      </w:r>
      <w:r>
        <w:rPr>
          <w:b/>
        </w:rPr>
        <w:br/>
      </w:r>
      <w:r w:rsidRPr="00727B96">
        <w:rPr>
          <w:b/>
        </w:rPr>
        <w:t>25-27 апреля 2022 г.</w:t>
      </w:r>
    </w:p>
    <w:p w:rsidR="00727B96" w:rsidRPr="00727B96" w:rsidRDefault="00727B96" w:rsidP="00727B96">
      <w:pPr>
        <w:jc w:val="center"/>
        <w:rPr>
          <w:b/>
        </w:rPr>
      </w:pP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 xml:space="preserve">Антибактериальные электрохимические композиционные покрытия на основе сплава </w:t>
      </w:r>
      <w:proofErr w:type="spellStart"/>
      <w:r w:rsidRPr="00D71AF1">
        <w:rPr>
          <w:rFonts w:eastAsia="Calibri"/>
          <w:bCs/>
        </w:rPr>
        <w:t>Sn-Ni</w:t>
      </w:r>
      <w:proofErr w:type="spellEnd"/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Декоративные бронзовые электрохимические покрытия с биоцидными свойствами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Кальций-фосфатные керамические изделия, полученные методом 3D-печати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Керамические плитки с биоцидными глазурными покрытиями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Люминесцирующие материалы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Покрытие медное электрохимическое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>Ресурсосберегающая малоотходная технология получения комплексных NPKS удобрений</w:t>
      </w:r>
      <w:r>
        <w:rPr>
          <w:rFonts w:eastAsia="Calibri"/>
          <w:bCs/>
        </w:rPr>
        <w:t>.</w:t>
      </w:r>
      <w:r w:rsidRPr="00D71AF1">
        <w:rPr>
          <w:rFonts w:eastAsia="Calibri"/>
          <w:bCs/>
        </w:rPr>
        <w:t xml:space="preserve">  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 xml:space="preserve">Технология переработки смешанных </w:t>
      </w:r>
      <w:proofErr w:type="spellStart"/>
      <w:r w:rsidRPr="00D71AF1">
        <w:rPr>
          <w:rFonts w:eastAsia="Calibri"/>
          <w:bCs/>
        </w:rPr>
        <w:t>полимерсодержащих</w:t>
      </w:r>
      <w:proofErr w:type="spellEnd"/>
      <w:r w:rsidRPr="00D71AF1">
        <w:rPr>
          <w:rFonts w:eastAsia="Calibri"/>
          <w:bCs/>
        </w:rPr>
        <w:t xml:space="preserve"> отходов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 xml:space="preserve">Технология переработки смешанных </w:t>
      </w:r>
      <w:proofErr w:type="spellStart"/>
      <w:r w:rsidRPr="00D71AF1">
        <w:rPr>
          <w:rFonts w:eastAsia="Calibri"/>
          <w:bCs/>
        </w:rPr>
        <w:t>полимерсодержащих</w:t>
      </w:r>
      <w:proofErr w:type="spellEnd"/>
      <w:r w:rsidRPr="00D71AF1">
        <w:rPr>
          <w:rFonts w:eastAsia="Calibri"/>
          <w:bCs/>
        </w:rPr>
        <w:t xml:space="preserve"> отходов</w:t>
      </w:r>
      <w:r>
        <w:rPr>
          <w:rFonts w:eastAsia="Calibri"/>
          <w:bCs/>
        </w:rPr>
        <w:t>.</w:t>
      </w:r>
    </w:p>
    <w:p w:rsidR="00727B96" w:rsidRPr="00D71AF1" w:rsidRDefault="00727B96" w:rsidP="00727B9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Calibri"/>
          <w:bCs/>
        </w:rPr>
      </w:pPr>
      <w:r w:rsidRPr="00D71AF1">
        <w:rPr>
          <w:rFonts w:eastAsia="Calibri"/>
          <w:bCs/>
        </w:rPr>
        <w:t xml:space="preserve">Удобрение </w:t>
      </w:r>
      <w:proofErr w:type="spellStart"/>
      <w:r w:rsidRPr="00D71AF1">
        <w:rPr>
          <w:rFonts w:eastAsia="Calibri"/>
          <w:bCs/>
        </w:rPr>
        <w:t>бесхлорное</w:t>
      </w:r>
      <w:proofErr w:type="spellEnd"/>
      <w:r w:rsidRPr="00D71AF1">
        <w:rPr>
          <w:rFonts w:eastAsia="Calibri"/>
          <w:bCs/>
        </w:rPr>
        <w:t xml:space="preserve"> водорастворимое – сульфат магния на основе доломита</w:t>
      </w:r>
      <w:r>
        <w:rPr>
          <w:rFonts w:eastAsia="Calibri"/>
          <w:bCs/>
        </w:rPr>
        <w:t>.</w:t>
      </w:r>
    </w:p>
    <w:p w:rsidR="0014568E" w:rsidRDefault="0014568E"/>
    <w:p w:rsidR="00727B96" w:rsidRDefault="00727B96">
      <w:r>
        <w:rPr>
          <w:noProof/>
          <w:lang w:eastAsia="ru-RU"/>
        </w:rPr>
        <w:drawing>
          <wp:inline distT="0" distB="0" distL="0" distR="0" wp14:anchorId="2F7C74E1" wp14:editId="666595AA">
            <wp:extent cx="5940425" cy="2157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96" w:rsidRDefault="00727B96"/>
    <w:p w:rsidR="00727B96" w:rsidRPr="00727B96" w:rsidRDefault="00727B96" w:rsidP="00727B96">
      <w:pPr>
        <w:jc w:val="center"/>
        <w:rPr>
          <w:b/>
        </w:rPr>
      </w:pPr>
      <w:r w:rsidRPr="00727B96">
        <w:rPr>
          <w:b/>
        </w:rPr>
        <w:t>Официальный сайт</w:t>
      </w:r>
    </w:p>
    <w:p w:rsidR="00727B96" w:rsidRPr="00727B96" w:rsidRDefault="00727B96" w:rsidP="00727B96">
      <w:pPr>
        <w:jc w:val="center"/>
        <w:rPr>
          <w:b/>
        </w:rPr>
      </w:pPr>
      <w:hyperlink r:id="rId6" w:history="1">
        <w:r w:rsidRPr="005562AF">
          <w:rPr>
            <w:rStyle w:val="a4"/>
            <w:b/>
          </w:rPr>
          <w:t>http://tashkent.bigindustrialweek.com/ru/</w:t>
        </w:r>
      </w:hyperlink>
      <w:r>
        <w:rPr>
          <w:b/>
        </w:rPr>
        <w:t xml:space="preserve"> </w:t>
      </w:r>
    </w:p>
    <w:sectPr w:rsidR="00727B96" w:rsidRPr="00727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90B15"/>
    <w:multiLevelType w:val="hybridMultilevel"/>
    <w:tmpl w:val="C5340E7A"/>
    <w:lvl w:ilvl="0" w:tplc="E4EA6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B96"/>
    <w:rsid w:val="0014568E"/>
    <w:rsid w:val="004E7D4F"/>
    <w:rsid w:val="00625BB8"/>
    <w:rsid w:val="00727B96"/>
    <w:rsid w:val="00CA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3DFC"/>
  <w15:chartTrackingRefBased/>
  <w15:docId w15:val="{BEBC2339-7787-40E6-994B-AEFAD14E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B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7B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ashkent.bigindustrialweek.com/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2022-04-12T12:32:00Z</dcterms:created>
  <dcterms:modified xsi:type="dcterms:W3CDTF">2022-04-12T12:32:00Z</dcterms:modified>
</cp:coreProperties>
</file>